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A7F4" w14:textId="41173731" w:rsidR="002E5FFE" w:rsidRPr="003F7F19" w:rsidRDefault="00D83AF8" w:rsidP="00344301">
      <w:pPr>
        <w:jc w:val="center"/>
        <w:rPr>
          <w:rFonts w:cstheme="minorHAnsi"/>
          <w:b/>
          <w:sz w:val="28"/>
          <w:szCs w:val="28"/>
        </w:rPr>
      </w:pPr>
      <w:bookmarkStart w:id="0" w:name="_Hlk161042357"/>
      <w:bookmarkEnd w:id="0"/>
      <w:r w:rsidRPr="003F7F19">
        <w:rPr>
          <w:rFonts w:cstheme="minorHAnsi"/>
          <w:b/>
          <w:sz w:val="28"/>
          <w:szCs w:val="28"/>
        </w:rPr>
        <w:t xml:space="preserve">Ohio Assessment </w:t>
      </w:r>
      <w:r w:rsidR="00F84FAB" w:rsidRPr="003F7F19">
        <w:rPr>
          <w:rFonts w:cstheme="minorHAnsi"/>
          <w:b/>
          <w:sz w:val="28"/>
          <w:szCs w:val="28"/>
        </w:rPr>
        <w:t xml:space="preserve">for </w:t>
      </w:r>
      <w:r w:rsidRPr="003F7F19">
        <w:rPr>
          <w:rFonts w:cstheme="minorHAnsi"/>
          <w:b/>
          <w:sz w:val="28"/>
          <w:szCs w:val="28"/>
        </w:rPr>
        <w:t>E</w:t>
      </w:r>
      <w:r w:rsidR="00F84FAB" w:rsidRPr="003F7F19">
        <w:rPr>
          <w:rFonts w:cstheme="minorHAnsi"/>
          <w:b/>
          <w:sz w:val="28"/>
          <w:szCs w:val="28"/>
        </w:rPr>
        <w:t>ducators (OAE)</w:t>
      </w:r>
      <w:r w:rsidRPr="003F7F19">
        <w:rPr>
          <w:rFonts w:cstheme="minorHAnsi"/>
          <w:b/>
          <w:sz w:val="28"/>
          <w:szCs w:val="28"/>
        </w:rPr>
        <w:t xml:space="preserve"> </w:t>
      </w:r>
      <w:r w:rsidR="00A63F65" w:rsidRPr="003F7F19">
        <w:rPr>
          <w:rFonts w:cstheme="minorHAnsi"/>
          <w:b/>
          <w:sz w:val="28"/>
          <w:szCs w:val="28"/>
        </w:rPr>
        <w:t>Passage</w:t>
      </w:r>
      <w:r w:rsidR="00D776EE" w:rsidRPr="003F7F19">
        <w:rPr>
          <w:rFonts w:cstheme="minorHAnsi"/>
          <w:b/>
          <w:sz w:val="28"/>
          <w:szCs w:val="28"/>
        </w:rPr>
        <w:t xml:space="preserve"> Rate</w:t>
      </w:r>
    </w:p>
    <w:p w14:paraId="6826E8E5" w14:textId="074A0F87" w:rsidR="000A3240" w:rsidRPr="003F7F19" w:rsidRDefault="000A3240" w:rsidP="000A3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7F19">
        <w:rPr>
          <w:rFonts w:cstheme="minorHAnsi"/>
          <w:b/>
          <w:bCs/>
          <w:sz w:val="24"/>
          <w:szCs w:val="24"/>
        </w:rPr>
        <w:t>Description of Data:</w:t>
      </w:r>
      <w:r w:rsidR="00200B61" w:rsidRPr="00A230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7F19">
        <w:rPr>
          <w:rFonts w:cstheme="minorHAnsi"/>
          <w:sz w:val="24"/>
          <w:szCs w:val="24"/>
        </w:rPr>
        <w:t>Ohio educator licensure requirements include passage of all requisite licensure examinations at the state</w:t>
      </w:r>
      <w:r w:rsidR="00200B61" w:rsidRPr="003F7F19">
        <w:rPr>
          <w:rFonts w:cstheme="minorHAnsi"/>
          <w:b/>
          <w:bCs/>
          <w:sz w:val="24"/>
          <w:szCs w:val="24"/>
        </w:rPr>
        <w:t xml:space="preserve"> </w:t>
      </w:r>
      <w:r w:rsidRPr="003F7F19">
        <w:rPr>
          <w:rFonts w:cstheme="minorHAnsi"/>
          <w:sz w:val="24"/>
          <w:szCs w:val="24"/>
        </w:rPr>
        <w:t xml:space="preserve">determined cut score. </w:t>
      </w:r>
      <w:r w:rsidR="005C2A8C" w:rsidRPr="003F7F19">
        <w:rPr>
          <w:rFonts w:cstheme="minorHAnsi"/>
          <w:sz w:val="24"/>
          <w:szCs w:val="24"/>
        </w:rPr>
        <w:t>B</w:t>
      </w:r>
      <w:r w:rsidRPr="003F7F19">
        <w:rPr>
          <w:rFonts w:cstheme="minorHAnsi"/>
          <w:sz w:val="24"/>
          <w:szCs w:val="24"/>
        </w:rPr>
        <w:t>ecause the data are gathered from the Title II reports, there is one</w:t>
      </w:r>
      <w:r w:rsidR="00200B61" w:rsidRPr="003F7F19">
        <w:rPr>
          <w:rFonts w:cstheme="minorHAnsi"/>
          <w:sz w:val="24"/>
          <w:szCs w:val="24"/>
        </w:rPr>
        <w:t xml:space="preserve"> year lag in accessing the data</w:t>
      </w:r>
      <w:r w:rsidRPr="003F7F19">
        <w:rPr>
          <w:rFonts w:cstheme="minorHAnsi"/>
          <w:sz w:val="24"/>
          <w:szCs w:val="24"/>
        </w:rPr>
        <w:t>.</w:t>
      </w:r>
      <w:r w:rsidR="00200B61" w:rsidRPr="003F7F19">
        <w:rPr>
          <w:rFonts w:cstheme="minorHAnsi"/>
          <w:sz w:val="24"/>
          <w:szCs w:val="24"/>
        </w:rPr>
        <w:t xml:space="preserve"> The data is compared with </w:t>
      </w:r>
      <w:r w:rsidR="00E37CE8">
        <w:rPr>
          <w:rFonts w:cstheme="minorHAnsi"/>
          <w:sz w:val="24"/>
          <w:szCs w:val="24"/>
        </w:rPr>
        <w:t>Ohio teacher candidate performance</w:t>
      </w:r>
      <w:r w:rsidR="00FE428F">
        <w:rPr>
          <w:rFonts w:cstheme="minorHAnsi"/>
          <w:sz w:val="24"/>
          <w:szCs w:val="24"/>
        </w:rPr>
        <w:t>.</w:t>
      </w:r>
    </w:p>
    <w:p w14:paraId="7BAB9E24" w14:textId="77777777" w:rsidR="00F858DC" w:rsidRDefault="00F858DC" w:rsidP="000A32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7D1C82" w14:textId="57CD0924" w:rsidR="00200B61" w:rsidRPr="00E66FD7" w:rsidRDefault="00200B61" w:rsidP="000A3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7F19">
        <w:rPr>
          <w:rFonts w:cstheme="minorHAnsi"/>
          <w:b/>
          <w:sz w:val="24"/>
          <w:szCs w:val="24"/>
        </w:rPr>
        <w:t>Data Analysis:</w:t>
      </w:r>
      <w:r w:rsidRPr="00A230AA">
        <w:rPr>
          <w:rFonts w:ascii="Arial" w:hAnsi="Arial" w:cs="Arial"/>
          <w:b/>
          <w:sz w:val="24"/>
          <w:szCs w:val="24"/>
        </w:rPr>
        <w:t xml:space="preserve"> </w:t>
      </w:r>
      <w:r w:rsidR="00D4554D" w:rsidRPr="00E66FD7">
        <w:rPr>
          <w:rFonts w:cstheme="minorHAnsi"/>
          <w:sz w:val="24"/>
          <w:szCs w:val="24"/>
        </w:rPr>
        <w:t>In 202</w:t>
      </w:r>
      <w:r w:rsidR="00E37CE8">
        <w:rPr>
          <w:rFonts w:cstheme="minorHAnsi"/>
          <w:sz w:val="24"/>
          <w:szCs w:val="24"/>
        </w:rPr>
        <w:t>3</w:t>
      </w:r>
      <w:r w:rsidR="00130D25">
        <w:rPr>
          <w:rFonts w:cstheme="minorHAnsi"/>
          <w:sz w:val="24"/>
          <w:szCs w:val="24"/>
        </w:rPr>
        <w:t>-2024</w:t>
      </w:r>
      <w:r w:rsidR="002A2BAF" w:rsidRPr="00E66FD7">
        <w:rPr>
          <w:rFonts w:cstheme="minorHAnsi"/>
          <w:sz w:val="24"/>
          <w:szCs w:val="24"/>
        </w:rPr>
        <w:t xml:space="preserve">, University of Akron, Teacher candidates of LJFF </w:t>
      </w:r>
      <w:r w:rsidR="00A63F65" w:rsidRPr="00E66FD7">
        <w:rPr>
          <w:rFonts w:cstheme="minorHAnsi"/>
          <w:sz w:val="24"/>
          <w:szCs w:val="24"/>
        </w:rPr>
        <w:t>School</w:t>
      </w:r>
      <w:r w:rsidR="002A2BAF" w:rsidRPr="00E66FD7">
        <w:rPr>
          <w:rFonts w:cstheme="minorHAnsi"/>
          <w:sz w:val="24"/>
          <w:szCs w:val="24"/>
        </w:rPr>
        <w:t xml:space="preserve"> of Education had </w:t>
      </w:r>
      <w:r w:rsidR="00D4554D" w:rsidRPr="00E66FD7">
        <w:rPr>
          <w:rFonts w:cstheme="minorHAnsi"/>
          <w:sz w:val="24"/>
          <w:szCs w:val="24"/>
        </w:rPr>
        <w:t>8</w:t>
      </w:r>
      <w:r w:rsidR="006F3338">
        <w:rPr>
          <w:rFonts w:cstheme="minorHAnsi"/>
          <w:sz w:val="24"/>
          <w:szCs w:val="24"/>
        </w:rPr>
        <w:t>4</w:t>
      </w:r>
      <w:r w:rsidR="002A2BAF" w:rsidRPr="00E66FD7">
        <w:rPr>
          <w:rFonts w:cstheme="minorHAnsi"/>
          <w:sz w:val="24"/>
          <w:szCs w:val="24"/>
        </w:rPr>
        <w:t>% passing rate for initial teacher licensure examination</w:t>
      </w:r>
      <w:r w:rsidR="00D4554D" w:rsidRPr="00E66FD7">
        <w:rPr>
          <w:rFonts w:cstheme="minorHAnsi"/>
          <w:sz w:val="24"/>
          <w:szCs w:val="24"/>
        </w:rPr>
        <w:t>s</w:t>
      </w:r>
      <w:r w:rsidR="002A2BAF" w:rsidRPr="00E66FD7">
        <w:rPr>
          <w:rFonts w:cstheme="minorHAnsi"/>
          <w:sz w:val="24"/>
          <w:szCs w:val="24"/>
        </w:rPr>
        <w:t xml:space="preserve">. </w:t>
      </w:r>
      <w:r w:rsidR="00130D25">
        <w:rPr>
          <w:rFonts w:cstheme="minorHAnsi"/>
          <w:sz w:val="24"/>
          <w:szCs w:val="24"/>
        </w:rPr>
        <w:t xml:space="preserve">The Ohio Department of Higher Education rated the EPP as effective. The </w:t>
      </w:r>
      <w:r w:rsidR="002A2BAF" w:rsidRPr="00E66FD7">
        <w:rPr>
          <w:rFonts w:cstheme="minorHAnsi"/>
          <w:sz w:val="24"/>
          <w:szCs w:val="24"/>
        </w:rPr>
        <w:t xml:space="preserve">UA </w:t>
      </w:r>
      <w:r w:rsidR="006F3338">
        <w:rPr>
          <w:rFonts w:cstheme="minorHAnsi"/>
          <w:sz w:val="24"/>
          <w:szCs w:val="24"/>
        </w:rPr>
        <w:t xml:space="preserve">performance in comparison with Ohio average performance is presented in </w:t>
      </w:r>
      <w:r w:rsidR="00E37CE8">
        <w:rPr>
          <w:rFonts w:cstheme="minorHAnsi"/>
          <w:sz w:val="24"/>
          <w:szCs w:val="24"/>
        </w:rPr>
        <w:t>Figure 1</w:t>
      </w:r>
      <w:r w:rsidR="00E66FD7" w:rsidRPr="00E66FD7">
        <w:rPr>
          <w:rFonts w:cstheme="minorHAnsi"/>
          <w:sz w:val="24"/>
          <w:szCs w:val="24"/>
        </w:rPr>
        <w:t xml:space="preserve">. </w:t>
      </w:r>
    </w:p>
    <w:p w14:paraId="6EECC490" w14:textId="77777777" w:rsidR="00200B61" w:rsidRDefault="00200B61" w:rsidP="000A32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FEE055" w14:textId="0F101D06" w:rsidR="00F01A0D" w:rsidRDefault="006F3338" w:rsidP="006F3338">
      <w:pPr>
        <w:autoSpaceDE w:val="0"/>
        <w:autoSpaceDN w:val="0"/>
        <w:adjustRightInd w:val="0"/>
        <w:spacing w:after="0" w:line="240" w:lineRule="auto"/>
        <w:ind w:firstLine="1080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78362A12" wp14:editId="50F8EBE6">
            <wp:extent cx="4572000" cy="2743200"/>
            <wp:effectExtent l="0" t="0" r="12700" b="12700"/>
            <wp:docPr id="2035312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AC497C1-79C0-2B95-5036-33974F592D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8ECE1D" w14:textId="77777777" w:rsidR="004C5BE0" w:rsidRDefault="004C5BE0" w:rsidP="00436A2C">
      <w:pPr>
        <w:rPr>
          <w:b/>
          <w:sz w:val="28"/>
          <w:szCs w:val="28"/>
        </w:rPr>
      </w:pPr>
    </w:p>
    <w:p w14:paraId="4D94D41B" w14:textId="3016567F" w:rsidR="00020D5D" w:rsidRPr="003F7F19" w:rsidRDefault="00A20216" w:rsidP="00436A2C">
      <w:pPr>
        <w:rPr>
          <w:rFonts w:cstheme="minorHAnsi"/>
          <w:b/>
          <w:sz w:val="28"/>
          <w:szCs w:val="28"/>
        </w:rPr>
      </w:pPr>
      <w:r w:rsidRPr="003F7F19">
        <w:rPr>
          <w:rFonts w:cstheme="minorHAnsi"/>
          <w:b/>
          <w:sz w:val="28"/>
          <w:szCs w:val="28"/>
        </w:rPr>
        <w:t>Three</w:t>
      </w:r>
      <w:r w:rsidR="00020D5D" w:rsidRPr="003F7F19">
        <w:rPr>
          <w:rFonts w:cstheme="minorHAnsi"/>
          <w:b/>
          <w:sz w:val="28"/>
          <w:szCs w:val="28"/>
        </w:rPr>
        <w:t xml:space="preserve"> Year </w:t>
      </w:r>
      <w:r w:rsidR="00583F28">
        <w:rPr>
          <w:rFonts w:cstheme="minorHAnsi"/>
          <w:b/>
          <w:sz w:val="28"/>
          <w:szCs w:val="28"/>
        </w:rPr>
        <w:t xml:space="preserve">OAE </w:t>
      </w:r>
      <w:r w:rsidR="00DA517E" w:rsidRPr="003F7F19">
        <w:rPr>
          <w:rFonts w:cstheme="minorHAnsi"/>
          <w:b/>
          <w:sz w:val="28"/>
          <w:szCs w:val="28"/>
        </w:rPr>
        <w:t>Foundation</w:t>
      </w:r>
      <w:r w:rsidR="005426A5">
        <w:rPr>
          <w:rFonts w:cstheme="minorHAnsi"/>
          <w:b/>
          <w:sz w:val="28"/>
          <w:szCs w:val="28"/>
        </w:rPr>
        <w:t>s</w:t>
      </w:r>
      <w:r w:rsidR="00DA517E" w:rsidRPr="003F7F19">
        <w:rPr>
          <w:rFonts w:cstheme="minorHAnsi"/>
          <w:b/>
          <w:sz w:val="28"/>
          <w:szCs w:val="28"/>
        </w:rPr>
        <w:t xml:space="preserve"> of Reading </w:t>
      </w:r>
      <w:r w:rsidR="00223631" w:rsidRPr="003F7F19">
        <w:rPr>
          <w:rFonts w:cstheme="minorHAnsi"/>
          <w:b/>
          <w:sz w:val="28"/>
          <w:szCs w:val="28"/>
        </w:rPr>
        <w:t xml:space="preserve">(Test 90) </w:t>
      </w:r>
      <w:r w:rsidR="003502BA" w:rsidRPr="003F7F19">
        <w:rPr>
          <w:rFonts w:cstheme="minorHAnsi"/>
          <w:b/>
          <w:sz w:val="28"/>
          <w:szCs w:val="28"/>
        </w:rPr>
        <w:t>Performance</w:t>
      </w:r>
      <w:r w:rsidR="00020D5D" w:rsidRPr="003F7F19">
        <w:rPr>
          <w:rFonts w:cstheme="minorHAnsi"/>
          <w:b/>
          <w:sz w:val="28"/>
          <w:szCs w:val="28"/>
        </w:rPr>
        <w:t xml:space="preserve"> </w:t>
      </w:r>
    </w:p>
    <w:p w14:paraId="6199FF26" w14:textId="6002BE15" w:rsidR="00436A2C" w:rsidRPr="003F7F19" w:rsidRDefault="00436A2C" w:rsidP="00436A2C">
      <w:pPr>
        <w:rPr>
          <w:rFonts w:cstheme="minorHAnsi"/>
          <w:b/>
          <w:sz w:val="24"/>
          <w:szCs w:val="24"/>
        </w:rPr>
      </w:pPr>
      <w:r w:rsidRPr="003F7F19">
        <w:rPr>
          <w:rFonts w:cstheme="minorHAnsi"/>
          <w:b/>
          <w:sz w:val="24"/>
          <w:szCs w:val="24"/>
        </w:rPr>
        <w:t>Data Description:</w:t>
      </w:r>
      <w:r w:rsidR="00DA517E" w:rsidRPr="003F7F19">
        <w:rPr>
          <w:rFonts w:cstheme="minorHAnsi"/>
          <w:b/>
          <w:sz w:val="24"/>
          <w:szCs w:val="24"/>
        </w:rPr>
        <w:t xml:space="preserve"> </w:t>
      </w:r>
      <w:r w:rsidR="005C2A8C" w:rsidRPr="003F7F19">
        <w:rPr>
          <w:rFonts w:cstheme="minorHAnsi"/>
          <w:sz w:val="24"/>
          <w:szCs w:val="24"/>
        </w:rPr>
        <w:t>Teacher candidates</w:t>
      </w:r>
      <w:r w:rsidR="00DA517E" w:rsidRPr="003F7F19">
        <w:rPr>
          <w:rFonts w:cstheme="minorHAnsi"/>
          <w:sz w:val="24"/>
          <w:szCs w:val="24"/>
        </w:rPr>
        <w:t xml:space="preserve"> ea</w:t>
      </w:r>
      <w:r w:rsidR="005C2A8C" w:rsidRPr="003F7F19">
        <w:rPr>
          <w:rFonts w:cstheme="minorHAnsi"/>
          <w:sz w:val="24"/>
          <w:szCs w:val="24"/>
        </w:rPr>
        <w:t xml:space="preserve">rning </w:t>
      </w:r>
      <w:r w:rsidR="00C54F69" w:rsidRPr="003F7F19">
        <w:rPr>
          <w:rFonts w:cstheme="minorHAnsi"/>
          <w:sz w:val="24"/>
          <w:szCs w:val="24"/>
        </w:rPr>
        <w:t>license in one o</w:t>
      </w:r>
      <w:r w:rsidR="00DA517E" w:rsidRPr="003F7F19">
        <w:rPr>
          <w:rFonts w:cstheme="minorHAnsi"/>
          <w:sz w:val="24"/>
          <w:szCs w:val="24"/>
        </w:rPr>
        <w:t>f</w:t>
      </w:r>
      <w:r w:rsidR="00C54F69" w:rsidRPr="003F7F19">
        <w:rPr>
          <w:rFonts w:cstheme="minorHAnsi"/>
          <w:sz w:val="24"/>
          <w:szCs w:val="24"/>
        </w:rPr>
        <w:t xml:space="preserve"> </w:t>
      </w:r>
      <w:r w:rsidR="00DA517E" w:rsidRPr="003F7F19">
        <w:rPr>
          <w:rFonts w:cstheme="minorHAnsi"/>
          <w:sz w:val="24"/>
          <w:szCs w:val="24"/>
        </w:rPr>
        <w:t xml:space="preserve">the </w:t>
      </w:r>
      <w:r w:rsidR="00C54F69" w:rsidRPr="003F7F19">
        <w:rPr>
          <w:rFonts w:cstheme="minorHAnsi"/>
          <w:sz w:val="24"/>
          <w:szCs w:val="24"/>
        </w:rPr>
        <w:t>following areas (early, middle childhood, interve</w:t>
      </w:r>
      <w:r w:rsidR="00103F0F" w:rsidRPr="003F7F19">
        <w:rPr>
          <w:rFonts w:cstheme="minorHAnsi"/>
          <w:sz w:val="24"/>
          <w:szCs w:val="24"/>
        </w:rPr>
        <w:t xml:space="preserve">ntion specialist), </w:t>
      </w:r>
      <w:r w:rsidR="00C54F69" w:rsidRPr="003F7F19">
        <w:rPr>
          <w:rFonts w:cstheme="minorHAnsi"/>
          <w:sz w:val="24"/>
          <w:szCs w:val="24"/>
        </w:rPr>
        <w:t>are required to take O</w:t>
      </w:r>
      <w:r w:rsidR="005426A5">
        <w:rPr>
          <w:rFonts w:cstheme="minorHAnsi"/>
          <w:sz w:val="24"/>
          <w:szCs w:val="24"/>
        </w:rPr>
        <w:t xml:space="preserve">AE Foundations of </w:t>
      </w:r>
      <w:r w:rsidR="00C54F69" w:rsidRPr="003F7F19">
        <w:rPr>
          <w:rFonts w:cstheme="minorHAnsi"/>
          <w:sz w:val="24"/>
          <w:szCs w:val="24"/>
        </w:rPr>
        <w:t>Reading 090 test. The cut off passing score is 220.</w:t>
      </w:r>
      <w:r w:rsidR="00C54F69" w:rsidRPr="003F7F19">
        <w:rPr>
          <w:rFonts w:cstheme="minorHAnsi"/>
          <w:b/>
          <w:sz w:val="24"/>
          <w:szCs w:val="24"/>
        </w:rPr>
        <w:t xml:space="preserve"> </w:t>
      </w:r>
    </w:p>
    <w:p w14:paraId="6BDE51DC" w14:textId="29B21378" w:rsidR="00436A2C" w:rsidRPr="003F7F19" w:rsidRDefault="00436A2C" w:rsidP="005C2A8C">
      <w:pPr>
        <w:ind w:right="-270"/>
        <w:rPr>
          <w:rFonts w:cstheme="minorHAnsi"/>
          <w:sz w:val="24"/>
          <w:szCs w:val="24"/>
        </w:rPr>
      </w:pPr>
      <w:r w:rsidRPr="003F7F19">
        <w:rPr>
          <w:rFonts w:cstheme="minorHAnsi"/>
          <w:b/>
          <w:sz w:val="24"/>
          <w:szCs w:val="24"/>
        </w:rPr>
        <w:t>Data Analysis:</w:t>
      </w:r>
      <w:r w:rsidR="00003063" w:rsidRPr="003F7F19">
        <w:rPr>
          <w:rFonts w:cstheme="minorHAnsi"/>
          <w:b/>
          <w:sz w:val="24"/>
          <w:szCs w:val="24"/>
        </w:rPr>
        <w:t xml:space="preserve"> </w:t>
      </w:r>
      <w:r w:rsidR="00372408" w:rsidRPr="003F7F19">
        <w:rPr>
          <w:rFonts w:cstheme="minorHAnsi"/>
          <w:sz w:val="24"/>
          <w:szCs w:val="24"/>
        </w:rPr>
        <w:t>The EPP % passing in 202</w:t>
      </w:r>
      <w:r w:rsidR="008003E0">
        <w:rPr>
          <w:rFonts w:cstheme="minorHAnsi"/>
          <w:sz w:val="24"/>
          <w:szCs w:val="24"/>
        </w:rPr>
        <w:t>4</w:t>
      </w:r>
      <w:r w:rsidR="007945E5">
        <w:rPr>
          <w:rFonts w:cstheme="minorHAnsi"/>
          <w:sz w:val="24"/>
          <w:szCs w:val="24"/>
        </w:rPr>
        <w:t xml:space="preserve"> </w:t>
      </w:r>
      <w:r w:rsidR="00372408" w:rsidRPr="003F7F19">
        <w:rPr>
          <w:rFonts w:cstheme="minorHAnsi"/>
          <w:sz w:val="24"/>
          <w:szCs w:val="24"/>
        </w:rPr>
        <w:t>is (</w:t>
      </w:r>
      <w:r w:rsidR="007945E5">
        <w:rPr>
          <w:rFonts w:cstheme="minorHAnsi"/>
          <w:sz w:val="24"/>
          <w:szCs w:val="24"/>
        </w:rPr>
        <w:t>7</w:t>
      </w:r>
      <w:r w:rsidR="008003E0">
        <w:rPr>
          <w:rFonts w:cstheme="minorHAnsi"/>
          <w:sz w:val="24"/>
          <w:szCs w:val="24"/>
        </w:rPr>
        <w:t>3</w:t>
      </w:r>
      <w:r w:rsidR="00372408" w:rsidRPr="003F7F19">
        <w:rPr>
          <w:rFonts w:cstheme="minorHAnsi"/>
          <w:sz w:val="24"/>
          <w:szCs w:val="24"/>
        </w:rPr>
        <w:t xml:space="preserve">%) </w:t>
      </w:r>
      <w:r w:rsidR="0009162D">
        <w:rPr>
          <w:rFonts w:cstheme="minorHAnsi"/>
          <w:sz w:val="24"/>
          <w:szCs w:val="24"/>
        </w:rPr>
        <w:t xml:space="preserve">higher </w:t>
      </w:r>
      <w:r w:rsidR="00440949">
        <w:rPr>
          <w:rFonts w:cstheme="minorHAnsi"/>
          <w:sz w:val="24"/>
          <w:szCs w:val="24"/>
        </w:rPr>
        <w:t>than Ohio performance</w:t>
      </w:r>
      <w:r w:rsidR="003607FB" w:rsidRPr="003F7F19">
        <w:rPr>
          <w:rFonts w:cstheme="minorHAnsi"/>
          <w:sz w:val="24"/>
          <w:szCs w:val="24"/>
        </w:rPr>
        <w:t xml:space="preserve">. </w:t>
      </w:r>
    </w:p>
    <w:p w14:paraId="53DBE7EE" w14:textId="6A0628A9" w:rsidR="00C57960" w:rsidRPr="003F7F19" w:rsidRDefault="00C57960" w:rsidP="005C2A8C">
      <w:pPr>
        <w:ind w:right="-270"/>
        <w:rPr>
          <w:rFonts w:cstheme="minorHAnsi"/>
          <w:sz w:val="24"/>
          <w:szCs w:val="24"/>
        </w:rPr>
      </w:pPr>
      <w:r w:rsidRPr="003F7F19">
        <w:rPr>
          <w:rFonts w:cstheme="minorHAnsi"/>
          <w:sz w:val="24"/>
          <w:szCs w:val="24"/>
        </w:rPr>
        <w:lastRenderedPageBreak/>
        <w:t xml:space="preserve">Table </w:t>
      </w:r>
      <w:r w:rsidR="007945E5">
        <w:rPr>
          <w:rFonts w:cstheme="minorHAnsi"/>
          <w:sz w:val="24"/>
          <w:szCs w:val="24"/>
        </w:rPr>
        <w:t>2</w:t>
      </w:r>
      <w:r w:rsidRPr="003F7F19">
        <w:rPr>
          <w:rFonts w:cstheme="minorHAnsi"/>
          <w:sz w:val="24"/>
          <w:szCs w:val="24"/>
        </w:rPr>
        <w:t xml:space="preserve">: Summary of Foundations of Reading Performance </w:t>
      </w:r>
      <w:r w:rsidR="008003E0">
        <w:rPr>
          <w:rFonts w:cstheme="minorHAnsi"/>
          <w:sz w:val="24"/>
          <w:szCs w:val="24"/>
        </w:rPr>
        <w:t>in</w:t>
      </w:r>
      <w:r w:rsidR="00615173">
        <w:rPr>
          <w:rFonts w:cstheme="minorHAnsi"/>
          <w:sz w:val="24"/>
          <w:szCs w:val="24"/>
        </w:rPr>
        <w:t xml:space="preserve"> Comparison with </w:t>
      </w:r>
      <w:r w:rsidRPr="003F7F19">
        <w:rPr>
          <w:rFonts w:cstheme="minorHAnsi"/>
          <w:sz w:val="24"/>
          <w:szCs w:val="24"/>
        </w:rPr>
        <w:t xml:space="preserve">Ohio </w:t>
      </w:r>
      <w:r w:rsidR="00615173">
        <w:rPr>
          <w:rFonts w:cstheme="minorHAnsi"/>
          <w:sz w:val="24"/>
          <w:szCs w:val="24"/>
        </w:rPr>
        <w:t>Performance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075"/>
        <w:gridCol w:w="1170"/>
        <w:gridCol w:w="1082"/>
        <w:gridCol w:w="1078"/>
        <w:gridCol w:w="1440"/>
        <w:gridCol w:w="1440"/>
        <w:gridCol w:w="1800"/>
      </w:tblGrid>
      <w:tr w:rsidR="000713A6" w:rsidRPr="00020D5D" w14:paraId="51D665CC" w14:textId="77777777" w:rsidTr="008003E0">
        <w:trPr>
          <w:trHeight w:val="300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4AF744D4" w14:textId="77777777" w:rsidR="000713A6" w:rsidRPr="003F7F19" w:rsidRDefault="000713A6" w:rsidP="000713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7F19"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0B18660A" w14:textId="77777777" w:rsidR="000713A6" w:rsidRPr="003F7F19" w:rsidRDefault="000713A6" w:rsidP="000713A6">
            <w:pPr>
              <w:ind w:right="-105"/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# Takers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420F4C20" w14:textId="77777777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# Pass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5FE82DD5" w14:textId="77777777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F7F19">
              <w:rPr>
                <w:rFonts w:cstheme="minorHAnsi"/>
                <w:b/>
                <w:sz w:val="24"/>
                <w:szCs w:val="24"/>
              </w:rPr>
              <w:t>%  Pass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4C7DB3B6" w14:textId="64942A50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Ohio %Pass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1F8D33D6" w14:textId="5BDAEEC4" w:rsidR="000713A6" w:rsidRPr="003F7F19" w:rsidRDefault="00372408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 xml:space="preserve">EPP Mean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506611CA" w14:textId="74F51AA8" w:rsidR="00280E46" w:rsidRPr="003F7F19" w:rsidRDefault="00FA3464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 xml:space="preserve">State </w:t>
            </w:r>
            <w:r w:rsidR="00372408" w:rsidRPr="003F7F19">
              <w:rPr>
                <w:rFonts w:cstheme="minorHAnsi"/>
                <w:b/>
                <w:sz w:val="24"/>
                <w:szCs w:val="24"/>
              </w:rPr>
              <w:t>Mean</w:t>
            </w:r>
            <w:r w:rsidR="000713A6" w:rsidRPr="003F7F1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A3D6EF4" w14:textId="34F3ACAA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03E0" w:rsidRPr="00020D5D" w14:paraId="3BC9F631" w14:textId="77777777" w:rsidTr="008003E0">
        <w:trPr>
          <w:trHeight w:val="300"/>
        </w:trPr>
        <w:tc>
          <w:tcPr>
            <w:tcW w:w="1075" w:type="dxa"/>
            <w:shd w:val="clear" w:color="auto" w:fill="5B9BD5" w:themeFill="accent1"/>
            <w:noWrap/>
          </w:tcPr>
          <w:p w14:paraId="15900411" w14:textId="46CC7230" w:rsidR="008003E0" w:rsidRDefault="008003E0" w:rsidP="008003E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1170" w:type="dxa"/>
            <w:shd w:val="clear" w:color="auto" w:fill="5B9BD5" w:themeFill="accent1"/>
            <w:noWrap/>
            <w:vAlign w:val="bottom"/>
          </w:tcPr>
          <w:p w14:paraId="50F8AD22" w14:textId="38AEE9A9" w:rsidR="008003E0" w:rsidRPr="007945E5" w:rsidRDefault="008003E0" w:rsidP="008003E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1082" w:type="dxa"/>
            <w:shd w:val="clear" w:color="auto" w:fill="5B9BD5" w:themeFill="accent1"/>
            <w:noWrap/>
            <w:vAlign w:val="bottom"/>
          </w:tcPr>
          <w:p w14:paraId="6F16CA97" w14:textId="17733384" w:rsidR="008003E0" w:rsidRDefault="008003E0" w:rsidP="008003E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1078" w:type="dxa"/>
            <w:shd w:val="clear" w:color="auto" w:fill="5B9BD5" w:themeFill="accent1"/>
            <w:noWrap/>
          </w:tcPr>
          <w:p w14:paraId="5866E982" w14:textId="3471D062" w:rsidR="008003E0" w:rsidRPr="008003E0" w:rsidRDefault="008003E0" w:rsidP="008003E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03E0">
              <w:rPr>
                <w:rFonts w:cstheme="minorHAnsi"/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1440" w:type="dxa"/>
            <w:shd w:val="clear" w:color="auto" w:fill="FFFF00"/>
          </w:tcPr>
          <w:p w14:paraId="7F18F438" w14:textId="671D702A" w:rsidR="008003E0" w:rsidRPr="007945E5" w:rsidRDefault="008003E0" w:rsidP="008003E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69%</w:t>
            </w:r>
          </w:p>
        </w:tc>
        <w:tc>
          <w:tcPr>
            <w:tcW w:w="1440" w:type="dxa"/>
            <w:shd w:val="clear" w:color="auto" w:fill="5B9BD5" w:themeFill="accent1"/>
            <w:vAlign w:val="bottom"/>
          </w:tcPr>
          <w:p w14:paraId="7B5DF9EF" w14:textId="280BB2DE" w:rsidR="008003E0" w:rsidRPr="008003E0" w:rsidRDefault="008003E0" w:rsidP="008003E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03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234.6</w:t>
            </w:r>
          </w:p>
        </w:tc>
        <w:tc>
          <w:tcPr>
            <w:tcW w:w="1800" w:type="dxa"/>
            <w:shd w:val="clear" w:color="auto" w:fill="FFFF00"/>
            <w:noWrap/>
            <w:vAlign w:val="bottom"/>
          </w:tcPr>
          <w:p w14:paraId="5F4A2DC0" w14:textId="63D9BED2" w:rsidR="008003E0" w:rsidRPr="008003E0" w:rsidRDefault="008003E0" w:rsidP="008003E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03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231.6</w:t>
            </w:r>
          </w:p>
        </w:tc>
      </w:tr>
      <w:tr w:rsidR="007945E5" w:rsidRPr="00020D5D" w14:paraId="6426DDAC" w14:textId="77777777" w:rsidTr="008003E0">
        <w:trPr>
          <w:trHeight w:val="300"/>
        </w:trPr>
        <w:tc>
          <w:tcPr>
            <w:tcW w:w="1075" w:type="dxa"/>
            <w:shd w:val="clear" w:color="auto" w:fill="5B9BD5" w:themeFill="accent1"/>
            <w:noWrap/>
          </w:tcPr>
          <w:p w14:paraId="483232F1" w14:textId="4B8B1C99" w:rsidR="007945E5" w:rsidRDefault="007945E5" w:rsidP="007945E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1170" w:type="dxa"/>
            <w:shd w:val="clear" w:color="auto" w:fill="5B9BD5" w:themeFill="accent1"/>
            <w:noWrap/>
            <w:vAlign w:val="bottom"/>
          </w:tcPr>
          <w:p w14:paraId="48D91AF2" w14:textId="1AE2B416" w:rsidR="007945E5" w:rsidRPr="007945E5" w:rsidRDefault="007945E5" w:rsidP="007945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45E5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AA77CF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082" w:type="dxa"/>
            <w:shd w:val="clear" w:color="auto" w:fill="5B9BD5" w:themeFill="accent1"/>
            <w:noWrap/>
            <w:vAlign w:val="bottom"/>
          </w:tcPr>
          <w:p w14:paraId="4BEB961F" w14:textId="5C690764" w:rsidR="007945E5" w:rsidRPr="007945E5" w:rsidRDefault="00AA77CF" w:rsidP="007945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1078" w:type="dxa"/>
            <w:shd w:val="clear" w:color="auto" w:fill="5B9BD5" w:themeFill="accent1"/>
            <w:noWrap/>
          </w:tcPr>
          <w:p w14:paraId="27EB05CB" w14:textId="6841F888" w:rsidR="007945E5" w:rsidRPr="008003E0" w:rsidRDefault="007945E5" w:rsidP="007945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03E0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AA77CF" w:rsidRPr="008003E0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8003E0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7E4A111D" w14:textId="7BEE2C8E" w:rsidR="007945E5" w:rsidRPr="007945E5" w:rsidRDefault="007945E5" w:rsidP="007945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45E5">
              <w:rPr>
                <w:rFonts w:cstheme="minorHAnsi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1440" w:type="dxa"/>
            <w:shd w:val="clear" w:color="auto" w:fill="5B9BD5" w:themeFill="accent1"/>
            <w:vAlign w:val="bottom"/>
          </w:tcPr>
          <w:p w14:paraId="7A7F739A" w14:textId="7D8E33FF" w:rsidR="007945E5" w:rsidRPr="007945E5" w:rsidRDefault="007945E5" w:rsidP="007945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45E5">
              <w:rPr>
                <w:rFonts w:ascii="Calibri" w:hAnsi="Calibri" w:cs="Calibri"/>
                <w:b/>
                <w:bCs/>
                <w:color w:val="000000"/>
              </w:rPr>
              <w:t>229.3</w:t>
            </w:r>
          </w:p>
        </w:tc>
        <w:tc>
          <w:tcPr>
            <w:tcW w:w="1800" w:type="dxa"/>
            <w:shd w:val="clear" w:color="auto" w:fill="FFFF00"/>
            <w:noWrap/>
            <w:vAlign w:val="bottom"/>
          </w:tcPr>
          <w:p w14:paraId="0682D4B5" w14:textId="536DADE1" w:rsidR="007945E5" w:rsidRPr="007945E5" w:rsidRDefault="007945E5" w:rsidP="007945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45E5">
              <w:rPr>
                <w:rFonts w:ascii="Calibri" w:hAnsi="Calibri" w:cs="Calibri"/>
                <w:b/>
                <w:bCs/>
                <w:color w:val="000000"/>
              </w:rPr>
              <w:t>229.8</w:t>
            </w:r>
          </w:p>
        </w:tc>
      </w:tr>
      <w:tr w:rsidR="003A600E" w:rsidRPr="00020D5D" w14:paraId="1DD3C9A6" w14:textId="77777777" w:rsidTr="008003E0">
        <w:trPr>
          <w:trHeight w:val="300"/>
        </w:trPr>
        <w:tc>
          <w:tcPr>
            <w:tcW w:w="1075" w:type="dxa"/>
            <w:shd w:val="clear" w:color="auto" w:fill="5B9BD5" w:themeFill="accent1"/>
            <w:noWrap/>
          </w:tcPr>
          <w:p w14:paraId="5A7D7442" w14:textId="3EB8E9D3" w:rsidR="003A600E" w:rsidRPr="003F7F19" w:rsidRDefault="003A600E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7945E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5B9BD5" w:themeFill="accent1"/>
            <w:noWrap/>
          </w:tcPr>
          <w:p w14:paraId="19E1F347" w14:textId="46388C9E" w:rsidR="003A600E" w:rsidRPr="003F7F19" w:rsidRDefault="00D80657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109</w:t>
            </w:r>
          </w:p>
        </w:tc>
        <w:tc>
          <w:tcPr>
            <w:tcW w:w="1082" w:type="dxa"/>
            <w:shd w:val="clear" w:color="auto" w:fill="5B9BD5" w:themeFill="accent1"/>
            <w:noWrap/>
          </w:tcPr>
          <w:p w14:paraId="0C3EA278" w14:textId="4EB0F383" w:rsidR="003A600E" w:rsidRPr="003F7F19" w:rsidRDefault="0009162D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1078" w:type="dxa"/>
            <w:shd w:val="clear" w:color="auto" w:fill="5B9BD5" w:themeFill="accent1"/>
            <w:noWrap/>
          </w:tcPr>
          <w:p w14:paraId="59EB877F" w14:textId="73AA761C" w:rsidR="003A600E" w:rsidRPr="008003E0" w:rsidRDefault="00D80657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8003E0">
              <w:rPr>
                <w:rFonts w:cstheme="minorHAnsi"/>
                <w:b/>
                <w:sz w:val="24"/>
                <w:szCs w:val="24"/>
              </w:rPr>
              <w:t>81</w:t>
            </w:r>
            <w:r w:rsidR="00640EF7" w:rsidRPr="008003E0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3BB9EBED" w14:textId="21DF6F29" w:rsidR="003A600E" w:rsidRPr="008003E0" w:rsidRDefault="000317A0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8003E0">
              <w:rPr>
                <w:rFonts w:cstheme="minorHAnsi"/>
                <w:b/>
                <w:sz w:val="24"/>
                <w:szCs w:val="24"/>
              </w:rPr>
              <w:t>75%</w:t>
            </w:r>
          </w:p>
        </w:tc>
        <w:tc>
          <w:tcPr>
            <w:tcW w:w="1440" w:type="dxa"/>
            <w:shd w:val="clear" w:color="auto" w:fill="5B9BD5" w:themeFill="accent1"/>
          </w:tcPr>
          <w:p w14:paraId="669CC64D" w14:textId="71F93AF8" w:rsidR="003A600E" w:rsidRPr="008003E0" w:rsidRDefault="00760633" w:rsidP="00E018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03E0">
              <w:rPr>
                <w:rFonts w:cstheme="minorHAnsi"/>
                <w:b/>
                <w:bCs/>
                <w:sz w:val="24"/>
                <w:szCs w:val="24"/>
              </w:rPr>
              <w:t>241</w:t>
            </w:r>
            <w:r w:rsidR="007945E5" w:rsidRPr="008003E0">
              <w:rPr>
                <w:rFonts w:cstheme="minorHAns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800" w:type="dxa"/>
            <w:shd w:val="clear" w:color="auto" w:fill="FFFF00"/>
            <w:noWrap/>
          </w:tcPr>
          <w:p w14:paraId="277064B2" w14:textId="2EDA9AB5" w:rsidR="003A600E" w:rsidRPr="008003E0" w:rsidRDefault="00760633" w:rsidP="00E018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03E0">
              <w:rPr>
                <w:rFonts w:cstheme="minorHAnsi"/>
                <w:b/>
                <w:bCs/>
                <w:sz w:val="24"/>
                <w:szCs w:val="24"/>
              </w:rPr>
              <w:t>236</w:t>
            </w:r>
            <w:r w:rsidR="007945E5" w:rsidRPr="008003E0">
              <w:rPr>
                <w:rFonts w:cstheme="minorHAnsi"/>
                <w:b/>
                <w:bCs/>
                <w:sz w:val="24"/>
                <w:szCs w:val="24"/>
              </w:rPr>
              <w:t>.0</w:t>
            </w:r>
          </w:p>
        </w:tc>
      </w:tr>
    </w:tbl>
    <w:tbl>
      <w:tblPr>
        <w:tblW w:w="13050" w:type="dxa"/>
        <w:tblInd w:w="-270" w:type="dxa"/>
        <w:tblLook w:val="04A0" w:firstRow="1" w:lastRow="0" w:firstColumn="1" w:lastColumn="0" w:noHBand="0" w:noVBand="1"/>
      </w:tblPr>
      <w:tblGrid>
        <w:gridCol w:w="3134"/>
        <w:gridCol w:w="842"/>
        <w:gridCol w:w="648"/>
        <w:gridCol w:w="816"/>
        <w:gridCol w:w="937"/>
        <w:gridCol w:w="927"/>
        <w:gridCol w:w="729"/>
        <w:gridCol w:w="708"/>
        <w:gridCol w:w="946"/>
        <w:gridCol w:w="870"/>
        <w:gridCol w:w="17"/>
        <w:gridCol w:w="666"/>
        <w:gridCol w:w="10"/>
        <w:gridCol w:w="720"/>
        <w:gridCol w:w="1080"/>
      </w:tblGrid>
      <w:tr w:rsidR="00672662" w:rsidRPr="00DA20CD" w14:paraId="496D4568" w14:textId="77777777" w:rsidTr="00F1378D">
        <w:trPr>
          <w:trHeight w:val="300"/>
        </w:trPr>
        <w:tc>
          <w:tcPr>
            <w:tcW w:w="13050" w:type="dxa"/>
            <w:gridSpan w:val="15"/>
            <w:tcBorders>
              <w:top w:val="single" w:sz="12" w:space="0" w:color="FFFFFF"/>
              <w:left w:val="nil"/>
              <w:bottom w:val="single" w:sz="4" w:space="0" w:color="000000" w:themeColor="text1"/>
              <w:right w:val="single" w:sz="12" w:space="0" w:color="FFFFFF"/>
            </w:tcBorders>
            <w:shd w:val="clear" w:color="auto" w:fill="auto"/>
            <w:noWrap/>
            <w:vAlign w:val="bottom"/>
          </w:tcPr>
          <w:p w14:paraId="61E70AA0" w14:textId="77777777" w:rsidR="00615173" w:rsidRPr="00F1378D" w:rsidRDefault="00615173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94DF608" w14:textId="79E1B611" w:rsidR="00672662" w:rsidRPr="008F4E97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8F4E97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OAE Content Test Passage Rate Benchmarked </w:t>
            </w:r>
            <w:r w:rsidR="003338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by</w:t>
            </w:r>
            <w:r w:rsidRPr="008F4E97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Ohio Performance</w:t>
            </w:r>
          </w:p>
          <w:p w14:paraId="0B98164C" w14:textId="4C97D65C" w:rsidR="00672662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7B7C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In addition to APK, </w:t>
            </w:r>
            <w:r w:rsidR="00583F28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The EPP requires </w:t>
            </w:r>
            <w:r w:rsidRPr="007B7C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teacher candidates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to pass </w:t>
            </w:r>
            <w:r w:rsidR="00583F28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at least one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83F28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subject</w:t>
            </w:r>
            <w:r w:rsidRPr="007B7C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test to </w:t>
            </w:r>
            <w:r w:rsidR="002448B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be eligible for student teaching</w:t>
            </w:r>
            <w:r w:rsidR="00986D9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. This EPP requirement greatly improve</w:t>
            </w:r>
            <w:r w:rsidR="00F01A0D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</w:t>
            </w:r>
            <w:r w:rsidR="00986D9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the preparation of teacher candidates content</w:t>
            </w:r>
            <w:r w:rsidR="00B95BF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knowledge</w:t>
            </w:r>
            <w:r w:rsidRPr="007B7C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B95BF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Four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-year content test results are compared with Ohio passage rate </w:t>
            </w:r>
            <w:r w:rsidR="00B95BF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and the EPP outperformed the Ohio </w:t>
            </w:r>
            <w:r w:rsidR="00272C1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in each content test as presented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in Table </w:t>
            </w:r>
            <w:r w:rsidR="007945E5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3608ED68" w14:textId="77777777" w:rsidR="007945E5" w:rsidRPr="001E6623" w:rsidRDefault="007945E5" w:rsidP="00A760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5101B443" w14:textId="5E9DB826" w:rsidR="00672662" w:rsidRPr="001C4EEC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sz w:val="24"/>
                <w:szCs w:val="24"/>
              </w:rPr>
              <w:t xml:space="preserve">Table </w:t>
            </w:r>
            <w:r w:rsidR="007945E5">
              <w:rPr>
                <w:rFonts w:ascii="Calibri" w:eastAsia="Times New Roman" w:hAnsi="Calibri" w:cs="Calibri"/>
                <w:sz w:val="24"/>
                <w:szCs w:val="24"/>
              </w:rPr>
              <w:t xml:space="preserve">3 </w:t>
            </w:r>
            <w:r w:rsidRPr="00FE3808">
              <w:rPr>
                <w:rFonts w:ascii="Calibri" w:eastAsia="Times New Roman" w:hAnsi="Calibri" w:cs="Calibri"/>
                <w:sz w:val="24"/>
                <w:szCs w:val="24"/>
              </w:rPr>
              <w:t xml:space="preserve">OAE Content Test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Passage Rate </w:t>
            </w:r>
            <w:r w:rsidRPr="00FE3808">
              <w:rPr>
                <w:rFonts w:ascii="Calibri" w:eastAsia="Times New Roman" w:hAnsi="Calibri" w:cs="Calibri"/>
                <w:sz w:val="24"/>
                <w:szCs w:val="24"/>
              </w:rPr>
              <w:t>Benchmarked by Ohio Passage Rate</w:t>
            </w:r>
          </w:p>
        </w:tc>
      </w:tr>
      <w:tr w:rsidR="00672662" w:rsidRPr="00DA20CD" w14:paraId="35A92FA9" w14:textId="77777777" w:rsidTr="00A76014">
        <w:trPr>
          <w:trHeight w:val="300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000C832C" w14:textId="77777777" w:rsidR="00672662" w:rsidRPr="00FE38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Test Title</w:t>
            </w:r>
          </w:p>
        </w:tc>
        <w:tc>
          <w:tcPr>
            <w:tcW w:w="32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67946411" w14:textId="116449D8" w:rsidR="001E6623" w:rsidRPr="00FE3808" w:rsidRDefault="001E6623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  <w:r w:rsidR="00CE2EF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  <w:r w:rsidR="00394F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-2</w:t>
            </w:r>
            <w:r w:rsidR="00394F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  <w:p w14:paraId="5195FCFF" w14:textId="77777777" w:rsidR="00672662" w:rsidRPr="00FE3808" w:rsidRDefault="00672662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0E627B75" w14:textId="3CA02460" w:rsidR="001E6623" w:rsidRPr="00FE3808" w:rsidRDefault="001E6623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202</w:t>
            </w:r>
            <w:r w:rsidR="00394F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-2</w:t>
            </w:r>
            <w:r w:rsidR="00394F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  <w:p w14:paraId="6113EC62" w14:textId="77777777" w:rsidR="00672662" w:rsidRPr="00FE3808" w:rsidRDefault="00672662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1076B923" w14:textId="13ECFD55" w:rsidR="00672662" w:rsidRPr="00FE3808" w:rsidRDefault="001E6623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202</w:t>
            </w:r>
            <w:r w:rsidR="00394F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-202</w:t>
            </w:r>
            <w:r w:rsidR="00394F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</w:tr>
      <w:tr w:rsidR="00672662" w:rsidRPr="00DA20CD" w14:paraId="0D9FD573" w14:textId="77777777" w:rsidTr="00A76014">
        <w:trPr>
          <w:trHeight w:val="300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69625DC" w14:textId="77777777" w:rsidR="00672662" w:rsidRPr="00DA20CD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OAE Content Test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9373CFE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Takers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172BAE79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Pass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01D11567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UA </w:t>
            </w:r>
            <w:r w:rsidRPr="00DA20CD">
              <w:rPr>
                <w:rFonts w:ascii="Calibri" w:eastAsia="Times New Roman" w:hAnsi="Calibri" w:cs="Calibri"/>
                <w:b/>
                <w:color w:val="000000"/>
              </w:rPr>
              <w:t>% Pass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4D2EC1CC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Ohio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% Pass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15CD7D7D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Takers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0753EEBE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Pass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9FAA9B1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UA </w:t>
            </w:r>
            <w:r w:rsidRPr="00DA20CD">
              <w:rPr>
                <w:rFonts w:ascii="Calibri" w:eastAsia="Times New Roman" w:hAnsi="Calibri" w:cs="Calibri"/>
                <w:b/>
                <w:color w:val="000000"/>
              </w:rPr>
              <w:t>% Pass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604CCDC1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Ohio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% Pass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7D7E58E0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Takers</w:t>
            </w:r>
          </w:p>
        </w:tc>
        <w:tc>
          <w:tcPr>
            <w:tcW w:w="6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73247B90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Pass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59A53C9F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UA </w:t>
            </w:r>
            <w:r w:rsidRPr="00DA20CD">
              <w:rPr>
                <w:rFonts w:ascii="Calibri" w:eastAsia="Times New Roman" w:hAnsi="Calibri" w:cs="Calibri"/>
                <w:b/>
                <w:color w:val="000000"/>
              </w:rPr>
              <w:t>% Pass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3137C99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Ohio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>%</w:t>
            </w:r>
            <w:proofErr w:type="gramEnd"/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Pass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</w:tr>
      <w:tr w:rsidR="008003E0" w:rsidRPr="00DA20CD" w14:paraId="50E64E86" w14:textId="77777777" w:rsidTr="00F300CE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CC446A" w14:textId="554A2781" w:rsidR="008003E0" w:rsidRPr="00256CB9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Art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26973B9" w14:textId="2EBBDFDB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2893230" w14:textId="05C7ACEC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45714D7" w14:textId="68290763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Pr="006A253F">
              <w:t>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1BC72578" w14:textId="5F4A57D4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1F52A43" w14:textId="6E09C973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563129F" w14:textId="051E104D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4CE4622" w14:textId="31BB2E15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2865879B" w14:textId="5AD8BAC1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5A100585" w14:textId="08346D1B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3B0B2B5" w14:textId="63D7F963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CC4991B" w14:textId="2F3F9D23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3D3261FF" w14:textId="525C9F0D" w:rsidR="008003E0" w:rsidRPr="00DA20CD" w:rsidRDefault="008003E0" w:rsidP="0080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</w:tr>
      <w:tr w:rsidR="00C27079" w:rsidRPr="00DA20CD" w14:paraId="54CAC9A0" w14:textId="77777777" w:rsidTr="0033698C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E5F512F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Early Childhood Education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9BA3E23" w14:textId="3989B48A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6</w:t>
            </w:r>
            <w:r w:rsidRPr="003120B3">
              <w:t>4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8EE71D3" w14:textId="0FA0ECD8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64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E916C78" w14:textId="54607AED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Pr="003120B3">
              <w:t>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BFAEFA3" w14:textId="2D2DF026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4C83B52" w14:textId="47C1C131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098A369" w14:textId="53952D48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2AC1DF31" w14:textId="4C8DBAB4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5CC1193" w14:textId="63DA6CBA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0CB1B82" w14:textId="406D14B5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5AEAFB4E" w14:textId="723B540D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03B7B834" w14:textId="4E3AB544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3A2266B4" w14:textId="2B9E91B7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</w:tr>
      <w:tr w:rsidR="00C27079" w:rsidRPr="00DA20CD" w14:paraId="2239EAC3" w14:textId="77777777" w:rsidTr="0033698C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2A5EED9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Early Childhood Spec Education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2C8A7A4" w14:textId="22EE0FD3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52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6D409E2" w14:textId="70CF6C91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52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F8C02A3" w14:textId="6633FC2D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Pr="00A014D7">
              <w:t>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94DF165" w14:textId="7FAD1F70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E3282CA" w14:textId="4339308E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2D043B8" w14:textId="56E55E19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5AC2B67E" w14:textId="1A246B52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D609784" w14:textId="6AD0C606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DA1A267" w14:textId="6F4469A5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CE04892" w14:textId="43F7FEB6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034CEC53" w14:textId="60DAF95C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3912D31E" w14:textId="667BDFB5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</w:tr>
      <w:tr w:rsidR="00C27079" w:rsidRPr="00DA20CD" w14:paraId="7A9D3AF2" w14:textId="77777777" w:rsidTr="0033698C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F0028C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English Language Arts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C9E882D" w14:textId="1269A598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0AAF">
              <w:t>24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8DB25F4" w14:textId="4963436A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A4BC201" w14:textId="1D128C6B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Pr="00530AAF">
              <w:t>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75E7B54" w14:textId="363276C8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EAE0C9F" w14:textId="365D7F32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6271810" w14:textId="6C455733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4D2F1A9" w14:textId="1B514147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2E732BF" w14:textId="58E2E5A0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A9279B6" w14:textId="781A025E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0544164" w14:textId="7693C471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B5D7711" w14:textId="545FE3D4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6BAD8391" w14:textId="0069A7BA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</w:tr>
      <w:tr w:rsidR="00C27079" w:rsidRPr="00DA20CD" w14:paraId="6765E46D" w14:textId="77777777" w:rsidTr="0033698C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CEB5E0E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Integrated Science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C8440EF" w14:textId="2BB3DF89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FD1">
              <w:t>21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8BC08C9" w14:textId="67BB4404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FD1">
              <w:t>15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0A9D984" w14:textId="5D99B64C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FD1">
              <w:t>71%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1F0A7645" w14:textId="4EEB5DBE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F67FC52" w14:textId="1791241A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0347CC08" w14:textId="6EAC24BC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46AF44B" w14:textId="6C98A8D6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62AD397" w14:textId="764B8083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4041973" w14:textId="1C9846C9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5C51498F" w14:textId="7169F387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57FEBA9" w14:textId="71DB722C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07807DC7" w14:textId="4E2AB4C7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</w:tr>
      <w:tr w:rsidR="00394F4E" w:rsidRPr="00DA20CD" w14:paraId="1AFF82F3" w14:textId="77777777" w:rsidTr="007467FB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4AF91F16" w14:textId="77777777" w:rsidR="00394F4E" w:rsidRPr="00256CB9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Biology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22A61A3" w14:textId="392DBAD2" w:rsidR="00394F4E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FB9">
              <w:t>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EF09177" w14:textId="78FB7567" w:rsidR="00394F4E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E09679C" w14:textId="190269B0" w:rsidR="00394F4E" w:rsidRPr="00FE3808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9D89C4C" w14:textId="061FB0F8" w:rsidR="00394F4E" w:rsidRDefault="00394F4E" w:rsidP="00394F4E">
            <w:pPr>
              <w:spacing w:after="0" w:line="240" w:lineRule="auto"/>
            </w:pPr>
            <w:r>
              <w:t>48%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45F0D42B" w14:textId="6B7428C5" w:rsidR="00394F4E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4308572E" w14:textId="4094B60F" w:rsidR="00394F4E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2054638" w14:textId="75654F52" w:rsidR="00394F4E" w:rsidRPr="00FE3808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F63A944" w14:textId="1BBA9D99" w:rsidR="00394F4E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65%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D613DC9" w14:textId="58072E13" w:rsidR="00394F4E" w:rsidRPr="00AB6AA7" w:rsidRDefault="00C27079" w:rsidP="00394F4E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68C4F0B" w14:textId="1FAF3347" w:rsidR="00394F4E" w:rsidRPr="00AB6AA7" w:rsidRDefault="00C27079" w:rsidP="00394F4E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FC118C3" w14:textId="65EF307A" w:rsidR="00394F4E" w:rsidRPr="00FE3808" w:rsidRDefault="00C27079" w:rsidP="00394F4E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DDFBA6B" w14:textId="59AA07C4" w:rsidR="00394F4E" w:rsidRPr="00AB6AA7" w:rsidRDefault="00C27079" w:rsidP="00394F4E">
            <w:pPr>
              <w:spacing w:after="0" w:line="240" w:lineRule="auto"/>
            </w:pPr>
            <w:r>
              <w:t>/</w:t>
            </w:r>
          </w:p>
        </w:tc>
      </w:tr>
      <w:tr w:rsidR="00394F4E" w:rsidRPr="00DA20CD" w14:paraId="4C6A0BB7" w14:textId="77777777" w:rsidTr="007467FB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574F6337" w14:textId="77777777" w:rsidR="00394F4E" w:rsidRPr="00256CB9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Chemistry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B9E2500" w14:textId="66A88E2B" w:rsidR="00394F4E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CFE39AF" w14:textId="4B9B5B99" w:rsidR="00394F4E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FF7A964" w14:textId="3CFD65D1" w:rsidR="00394F4E" w:rsidRPr="00FE3808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B2A51B9" w14:textId="5AF7930B" w:rsidR="00394F4E" w:rsidRDefault="00394F4E" w:rsidP="00394F4E">
            <w:pPr>
              <w:spacing w:after="0" w:line="240" w:lineRule="auto"/>
            </w:pPr>
            <w:r>
              <w:t>/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18DEB5D" w14:textId="6F40B406" w:rsidR="00394F4E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C8B41BA" w14:textId="687F1479" w:rsidR="00394F4E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2565487A" w14:textId="59CE948C" w:rsidR="00394F4E" w:rsidRPr="00FE3808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99A23DF" w14:textId="6D79E70B" w:rsidR="00394F4E" w:rsidRDefault="00394F4E" w:rsidP="003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69%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95EFAA6" w14:textId="018BAB12" w:rsidR="00394F4E" w:rsidRPr="00AB6AA7" w:rsidRDefault="00C27079" w:rsidP="00394F4E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BC2ADEF" w14:textId="32A8AC99" w:rsidR="00394F4E" w:rsidRPr="00AB6AA7" w:rsidRDefault="00C27079" w:rsidP="00394F4E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6979EC9" w14:textId="05F56630" w:rsidR="00394F4E" w:rsidRPr="00FE3808" w:rsidRDefault="00C27079" w:rsidP="00394F4E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1B373B1" w14:textId="63FBB1E0" w:rsidR="00394F4E" w:rsidRPr="00AB6AA7" w:rsidRDefault="00C27079" w:rsidP="00394F4E">
            <w:pPr>
              <w:spacing w:after="0" w:line="240" w:lineRule="auto"/>
            </w:pPr>
            <w:r>
              <w:t>/</w:t>
            </w:r>
          </w:p>
        </w:tc>
      </w:tr>
      <w:tr w:rsidR="00C27079" w:rsidRPr="00DA20CD" w14:paraId="4B1D0D5B" w14:textId="77777777" w:rsidTr="007235E0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386088A8" w14:textId="77777777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Earth Science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A676859" w14:textId="7BF17AD6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C1B1DF0" w14:textId="46C7236C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758407A" w14:textId="78966566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FAE5C50" w14:textId="37135C28" w:rsidR="00C27079" w:rsidRDefault="00C27079" w:rsidP="00C27079">
            <w:pPr>
              <w:spacing w:after="0" w:line="240" w:lineRule="auto"/>
            </w:pPr>
            <w:r>
              <w:t>/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0F185AA8" w14:textId="66E4FEF3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45AA098" w14:textId="284C27F8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3CFBE97" w14:textId="59AC0ED0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23CF5264" w14:textId="63E0491B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64%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3988E42" w14:textId="4E75B11C" w:rsidR="00C27079" w:rsidRPr="00AB6AA7" w:rsidRDefault="00C27079" w:rsidP="00C2707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E966233" w14:textId="0796DD2F" w:rsidR="00C27079" w:rsidRPr="00AB6AA7" w:rsidRDefault="00C27079" w:rsidP="00C2707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A4231C5" w14:textId="1A8B8D79" w:rsidR="00C27079" w:rsidRPr="00FE3808" w:rsidRDefault="00C27079" w:rsidP="00C2707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787C1420" w14:textId="1C96531C" w:rsidR="00C27079" w:rsidRPr="00AB6AA7" w:rsidRDefault="00C27079" w:rsidP="00C2707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</w:tr>
      <w:tr w:rsidR="00C27079" w:rsidRPr="00DA20CD" w14:paraId="28A8324D" w14:textId="77777777" w:rsidTr="00645050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4962E1B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Integrated Social Studies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07397AE" w14:textId="6AF498BE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57FE">
              <w:t>2</w:t>
            </w:r>
            <w:r>
              <w:t>4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D8EA7D4" w14:textId="127A8835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4C96402" w14:textId="72A5D337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83</w:t>
            </w:r>
            <w:r w:rsidRPr="00DA57FE">
              <w:t>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D0E66A3" w14:textId="750D9AC9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C8440BF" w14:textId="6B59278F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8B4CECD" w14:textId="44D61462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4B6E9292" w14:textId="0F511999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BF9CDDE" w14:textId="4D58D702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95BADE4" w14:textId="0F3B8E53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D2AE18F" w14:textId="0F085C0B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11C3411" w14:textId="2C97952F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62065999" w14:textId="7AC58502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</w:tr>
      <w:tr w:rsidR="00C27079" w:rsidRPr="00DA20CD" w14:paraId="3EDAB772" w14:textId="77777777" w:rsidTr="000D205E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79E8724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Mathematics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7B361BE" w14:textId="38606D64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7B9A4EB" w14:textId="5937636D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7F89E9D" w14:textId="1A05A8AD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7E9E5AB" w14:textId="2B343D78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731CBBE4" w14:textId="20256587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306113D0" w14:textId="0EAE939A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1741E151" w14:textId="5E6C8953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56D903B" w14:textId="33A86900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742FCED" w14:textId="50181761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0FEDF39B" w14:textId="5D400CE8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6A73D2D" w14:textId="016763E5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48E2C635" w14:textId="3FF16DFC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55%</w:t>
            </w:r>
          </w:p>
        </w:tc>
      </w:tr>
      <w:tr w:rsidR="00C27079" w:rsidRPr="00DA20CD" w14:paraId="531E7145" w14:textId="77777777" w:rsidTr="00D148EB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7BC623C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Mid Grades English Lang Arts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1117F20" w14:textId="2E51FB60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746B49B" w14:textId="295A14E1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E8B912C" w14:textId="43F85B27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100%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B4D3048" w14:textId="540DCB6F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3B421831" w14:textId="40ABC2F3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71A6E810" w14:textId="2112C054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2B21ACF8" w14:textId="46A24510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5F56303" w14:textId="6F7CF2AF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1E4376A" w14:textId="150557B2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5B2EC8BB" w14:textId="304DD4BD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2CD78514" w14:textId="20120027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63190D41" w14:textId="2E7CF2E0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84%</w:t>
            </w:r>
          </w:p>
        </w:tc>
      </w:tr>
      <w:tr w:rsidR="00C27079" w:rsidRPr="00DA20CD" w14:paraId="5E4D3452" w14:textId="77777777" w:rsidTr="00D148EB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EC4B2B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Mid Grades Mathematics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10C880F" w14:textId="79AAB77E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</w:t>
            </w:r>
            <w:r>
              <w:t>3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8CCA6AE" w14:textId="4A68B388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E23252C" w14:textId="2C0F47FF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7</w:t>
            </w:r>
            <w:r>
              <w:t>7</w:t>
            </w:r>
            <w:r w:rsidRPr="00F611E7">
              <w:t>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1555D929" w14:textId="68EE8F11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1978BB03" w14:textId="1E3D36B8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47AB0FA5" w14:textId="2CF4C4FD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08841791" w14:textId="3E5521A0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E88DB5C" w14:textId="593AB857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3542F69" w14:textId="29D1C516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FABCAEC" w14:textId="04735DA4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C94C2A1" w14:textId="0E29F1B5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71FBA747" w14:textId="496C6A11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</w:t>
            </w:r>
          </w:p>
        </w:tc>
      </w:tr>
      <w:tr w:rsidR="00C27079" w:rsidRPr="00DA20CD" w14:paraId="074DB000" w14:textId="77777777" w:rsidTr="00D148EB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2DD0C6C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Mid Grades Science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53274E3" w14:textId="72A11B73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14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BBAE048" w14:textId="080F745A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</w:t>
            </w:r>
            <w: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B3B36B9" w14:textId="1ED91508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93</w:t>
            </w:r>
            <w:r w:rsidRPr="00F611E7">
              <w:t>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9AF27C1" w14:textId="27E264E7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0F94FB12" w14:textId="7CF5ECE6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6170A0DA" w14:textId="49783339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38D7B7B1" w14:textId="196FCF5E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D30C4B7" w14:textId="65DBFA91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2F77F45" w14:textId="005B656C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BDA24ED" w14:textId="583B192C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AC76E0B" w14:textId="64764BF5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0FD55C96" w14:textId="07073285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</w:tr>
      <w:tr w:rsidR="00C27079" w:rsidRPr="00DA20CD" w14:paraId="24983F18" w14:textId="77777777" w:rsidTr="00D148EB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65AABE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Mid Grades SS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9542473" w14:textId="16E04C13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</w:t>
            </w:r>
            <w:r>
              <w:t>3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C07190E" w14:textId="030E2867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75920A6" w14:textId="52E80710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70%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146762A" w14:textId="53C39EEC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67301EBE" w14:textId="0407F88E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3C185808" w14:textId="155C65FD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0CF61229" w14:textId="582AEF27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53C5445" w14:textId="742D323E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6799F9F" w14:textId="6E2BD70E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2ED9EAF" w14:textId="751D44DE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0ED663B" w14:textId="22AD471B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0E77CA4A" w14:textId="0DC81B24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</w:tr>
      <w:tr w:rsidR="00C27079" w:rsidRPr="00DA20CD" w14:paraId="0581ED97" w14:textId="77777777" w:rsidTr="00842AEB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FB936C2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Music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F76B5C5" w14:textId="374A13D9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8284C2B" w14:textId="7DC29DC6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CFEBC01" w14:textId="5B2489E0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237F368D" w14:textId="22E42EE6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625C7DF0" w14:textId="20E9972F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1583B4E" w14:textId="56C8CC59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00E7CE05" w14:textId="6D991E8A" w:rsidR="00C27079" w:rsidRPr="00FE3808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7D74F83" w14:textId="7101338E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A12292F" w14:textId="7FCB5611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25C2D827" w14:textId="5CD346D0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EEB0F2F" w14:textId="1B5391FA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5AB24EB2" w14:textId="47C68749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</w:tr>
      <w:tr w:rsidR="00C27079" w:rsidRPr="00DA20CD" w14:paraId="3AC7029D" w14:textId="77777777" w:rsidTr="002B3208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1C9D45B1" w14:textId="1BCA403E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Primary Education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8876826" w14:textId="2B82411E" w:rsidR="00C27079" w:rsidRPr="007F7B3A" w:rsidRDefault="00C27079" w:rsidP="00C27079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DB35345" w14:textId="55ED83A6" w:rsidR="00C27079" w:rsidRPr="007F7B3A" w:rsidRDefault="00C27079" w:rsidP="00C27079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38E5343" w14:textId="22FCC2EE" w:rsidR="00C27079" w:rsidRPr="007F7B3A" w:rsidRDefault="00C27079" w:rsidP="00C27079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61CF8F9" w14:textId="7DC5A6C2" w:rsidR="00C27079" w:rsidRPr="007F7B3A" w:rsidRDefault="00C27079" w:rsidP="00C27079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08834CF" w14:textId="34C9E3B0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45EC68F" w14:textId="25C14210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22F4423A" w14:textId="41C30163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F9D8297" w14:textId="66F95B6F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28A79454" w14:textId="27BE74B3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FF21A34" w14:textId="3569E78F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45E425DD" w14:textId="03873BD4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5C8D7B7B" w14:textId="361E2F93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89%</w:t>
            </w:r>
          </w:p>
        </w:tc>
      </w:tr>
      <w:tr w:rsidR="00C27079" w:rsidRPr="00DA20CD" w14:paraId="39073E78" w14:textId="77777777" w:rsidTr="002B3208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1FE95272" w14:textId="65176AAE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Primary Special education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50C992F" w14:textId="77777777" w:rsidR="00C27079" w:rsidRDefault="00C27079" w:rsidP="00C27079">
            <w:pPr>
              <w:spacing w:after="0" w:line="240" w:lineRule="auto"/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F5D7BA3" w14:textId="77777777" w:rsidR="00C27079" w:rsidRDefault="00C27079" w:rsidP="00C27079">
            <w:pPr>
              <w:spacing w:after="0" w:line="240" w:lineRule="auto"/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05CF4B5" w14:textId="77777777" w:rsidR="00C27079" w:rsidRDefault="00C27079" w:rsidP="00C27079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29248B16" w14:textId="77777777" w:rsidR="00C27079" w:rsidRDefault="00C27079" w:rsidP="00C27079">
            <w:pPr>
              <w:spacing w:after="0" w:line="240" w:lineRule="auto"/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9F8A1D5" w14:textId="0735A325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52655639" w14:textId="2FC0728C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4A9AD7D" w14:textId="04F72FDE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C7153A6" w14:textId="19F4044F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2A2ECD5" w14:textId="7977183F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2F6485F1" w14:textId="7A092B2B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E732ADE" w14:textId="7E5067B1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634068F4" w14:textId="392F8C2A" w:rsidR="00C2707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</w:tr>
      <w:tr w:rsidR="00C27079" w:rsidRPr="00DA20CD" w14:paraId="4307F97B" w14:textId="77777777" w:rsidTr="008D0509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484750C" w14:textId="77777777" w:rsidR="00C27079" w:rsidRPr="00256CB9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Special Education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88B3A3B" w14:textId="3CCD70E9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46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045C05A" w14:textId="0B6EEC25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37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EF10B26" w14:textId="1951EFCB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C7A">
              <w:t>84%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0456B19" w14:textId="13D2FBD5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322A8410" w14:textId="1C8044F3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24191588" w14:textId="19DEB53F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715BD353" w14:textId="04F1D052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AC71DF2" w14:textId="3F0313F2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3D4C46C" w14:textId="15A0C088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448058A6" w14:textId="48DF6B3D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0AD5A410" w14:textId="3392A166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bottom"/>
          </w:tcPr>
          <w:p w14:paraId="41039F6D" w14:textId="7CFE420E" w:rsidR="00C27079" w:rsidRPr="00DA20CD" w:rsidRDefault="00C27079" w:rsidP="00C2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</w:tr>
    </w:tbl>
    <w:p w14:paraId="54AAA9EC" w14:textId="77777777" w:rsidR="00672662" w:rsidRDefault="00672662" w:rsidP="00DF0A3C">
      <w:pPr>
        <w:rPr>
          <w:b/>
          <w:sz w:val="28"/>
          <w:szCs w:val="28"/>
        </w:rPr>
      </w:pPr>
    </w:p>
    <w:sectPr w:rsidR="00672662" w:rsidSect="008846CD">
      <w:headerReference w:type="default" r:id="rId10"/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89EF8" w14:textId="77777777" w:rsidR="00D707F6" w:rsidRDefault="00D707F6" w:rsidP="00A230AA">
      <w:pPr>
        <w:spacing w:after="0" w:line="240" w:lineRule="auto"/>
      </w:pPr>
      <w:r>
        <w:separator/>
      </w:r>
    </w:p>
  </w:endnote>
  <w:endnote w:type="continuationSeparator" w:id="0">
    <w:p w14:paraId="169D5154" w14:textId="77777777" w:rsidR="00D707F6" w:rsidRDefault="00D707F6" w:rsidP="00A2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F66FE" w14:textId="77777777" w:rsidR="00D707F6" w:rsidRDefault="00D707F6" w:rsidP="00A230AA">
      <w:pPr>
        <w:spacing w:after="0" w:line="240" w:lineRule="auto"/>
      </w:pPr>
      <w:r>
        <w:separator/>
      </w:r>
    </w:p>
  </w:footnote>
  <w:footnote w:type="continuationSeparator" w:id="0">
    <w:p w14:paraId="5DB354D4" w14:textId="77777777" w:rsidR="00D707F6" w:rsidRDefault="00D707F6" w:rsidP="00A2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7899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A085BB" w14:textId="3FC1CB59" w:rsidR="00A230AA" w:rsidRDefault="00A230A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A26D6" w14:textId="77777777" w:rsidR="00A230AA" w:rsidRDefault="00A23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EE"/>
    <w:rsid w:val="00003063"/>
    <w:rsid w:val="00014614"/>
    <w:rsid w:val="00020124"/>
    <w:rsid w:val="00020D5D"/>
    <w:rsid w:val="00021BE1"/>
    <w:rsid w:val="000317A0"/>
    <w:rsid w:val="00040AB4"/>
    <w:rsid w:val="00044712"/>
    <w:rsid w:val="00053883"/>
    <w:rsid w:val="0005564F"/>
    <w:rsid w:val="00067BE7"/>
    <w:rsid w:val="000713A6"/>
    <w:rsid w:val="0007217E"/>
    <w:rsid w:val="00072337"/>
    <w:rsid w:val="00082D28"/>
    <w:rsid w:val="0009162D"/>
    <w:rsid w:val="00094D43"/>
    <w:rsid w:val="000A3240"/>
    <w:rsid w:val="000B7329"/>
    <w:rsid w:val="000C4A19"/>
    <w:rsid w:val="000D3B06"/>
    <w:rsid w:val="000D3DC2"/>
    <w:rsid w:val="000E5B00"/>
    <w:rsid w:val="00101F3F"/>
    <w:rsid w:val="00103F0F"/>
    <w:rsid w:val="00116209"/>
    <w:rsid w:val="00130D25"/>
    <w:rsid w:val="0015530B"/>
    <w:rsid w:val="00186B84"/>
    <w:rsid w:val="00195B00"/>
    <w:rsid w:val="001B0349"/>
    <w:rsid w:val="001C3D24"/>
    <w:rsid w:val="001E4B88"/>
    <w:rsid w:val="001E6623"/>
    <w:rsid w:val="00200B61"/>
    <w:rsid w:val="00214C8D"/>
    <w:rsid w:val="00223631"/>
    <w:rsid w:val="00231FA5"/>
    <w:rsid w:val="002362E0"/>
    <w:rsid w:val="002448BE"/>
    <w:rsid w:val="00244DDE"/>
    <w:rsid w:val="002545BF"/>
    <w:rsid w:val="00262F26"/>
    <w:rsid w:val="00272C10"/>
    <w:rsid w:val="00276B0F"/>
    <w:rsid w:val="00280E46"/>
    <w:rsid w:val="0029121F"/>
    <w:rsid w:val="00292ACF"/>
    <w:rsid w:val="002A2BAF"/>
    <w:rsid w:val="002B6AAF"/>
    <w:rsid w:val="002E5FFE"/>
    <w:rsid w:val="002F067B"/>
    <w:rsid w:val="002F0FA4"/>
    <w:rsid w:val="00306716"/>
    <w:rsid w:val="003228F8"/>
    <w:rsid w:val="00324321"/>
    <w:rsid w:val="003303F2"/>
    <w:rsid w:val="00333809"/>
    <w:rsid w:val="00335FA4"/>
    <w:rsid w:val="00343078"/>
    <w:rsid w:val="00344301"/>
    <w:rsid w:val="003502BA"/>
    <w:rsid w:val="0035123F"/>
    <w:rsid w:val="003516D4"/>
    <w:rsid w:val="00351E55"/>
    <w:rsid w:val="003607FB"/>
    <w:rsid w:val="00367616"/>
    <w:rsid w:val="00372408"/>
    <w:rsid w:val="003726F7"/>
    <w:rsid w:val="00394F4E"/>
    <w:rsid w:val="003A0324"/>
    <w:rsid w:val="003A600E"/>
    <w:rsid w:val="003A7480"/>
    <w:rsid w:val="003A7C83"/>
    <w:rsid w:val="003B0FB1"/>
    <w:rsid w:val="003B1061"/>
    <w:rsid w:val="003B1CDA"/>
    <w:rsid w:val="003D72EA"/>
    <w:rsid w:val="003E687B"/>
    <w:rsid w:val="003F43AB"/>
    <w:rsid w:val="003F7F19"/>
    <w:rsid w:val="004055E8"/>
    <w:rsid w:val="004104F8"/>
    <w:rsid w:val="00423783"/>
    <w:rsid w:val="00430C84"/>
    <w:rsid w:val="00436A2C"/>
    <w:rsid w:val="00440949"/>
    <w:rsid w:val="00451162"/>
    <w:rsid w:val="004606E1"/>
    <w:rsid w:val="00462C89"/>
    <w:rsid w:val="00467E1E"/>
    <w:rsid w:val="00474FAA"/>
    <w:rsid w:val="00481233"/>
    <w:rsid w:val="004846E4"/>
    <w:rsid w:val="00490D04"/>
    <w:rsid w:val="004B7522"/>
    <w:rsid w:val="004C2EA1"/>
    <w:rsid w:val="004C5BE0"/>
    <w:rsid w:val="004D3F24"/>
    <w:rsid w:val="004E0E76"/>
    <w:rsid w:val="004E4D29"/>
    <w:rsid w:val="004F31FB"/>
    <w:rsid w:val="00502E55"/>
    <w:rsid w:val="00514994"/>
    <w:rsid w:val="00516276"/>
    <w:rsid w:val="005243A0"/>
    <w:rsid w:val="00526CA7"/>
    <w:rsid w:val="005426A5"/>
    <w:rsid w:val="005505D8"/>
    <w:rsid w:val="00550610"/>
    <w:rsid w:val="0056038B"/>
    <w:rsid w:val="005732BB"/>
    <w:rsid w:val="0058316D"/>
    <w:rsid w:val="00583F28"/>
    <w:rsid w:val="0059788A"/>
    <w:rsid w:val="005A6DAE"/>
    <w:rsid w:val="005B6A44"/>
    <w:rsid w:val="005C191E"/>
    <w:rsid w:val="005C2A8C"/>
    <w:rsid w:val="005F1591"/>
    <w:rsid w:val="005F4784"/>
    <w:rsid w:val="00601F75"/>
    <w:rsid w:val="006027A4"/>
    <w:rsid w:val="00610E46"/>
    <w:rsid w:val="00611510"/>
    <w:rsid w:val="00615173"/>
    <w:rsid w:val="0062707E"/>
    <w:rsid w:val="006368F7"/>
    <w:rsid w:val="00640EF7"/>
    <w:rsid w:val="0065089F"/>
    <w:rsid w:val="00665AE6"/>
    <w:rsid w:val="00665F7B"/>
    <w:rsid w:val="00666461"/>
    <w:rsid w:val="0066721E"/>
    <w:rsid w:val="00672662"/>
    <w:rsid w:val="00675DEF"/>
    <w:rsid w:val="00676FB9"/>
    <w:rsid w:val="00686ECE"/>
    <w:rsid w:val="006A78E7"/>
    <w:rsid w:val="006D6622"/>
    <w:rsid w:val="006F3338"/>
    <w:rsid w:val="0071121D"/>
    <w:rsid w:val="00755219"/>
    <w:rsid w:val="00755BFB"/>
    <w:rsid w:val="00760633"/>
    <w:rsid w:val="0076112E"/>
    <w:rsid w:val="007651BD"/>
    <w:rsid w:val="0076621B"/>
    <w:rsid w:val="0078680F"/>
    <w:rsid w:val="0079217B"/>
    <w:rsid w:val="007945E5"/>
    <w:rsid w:val="007C4C90"/>
    <w:rsid w:val="007F6CA3"/>
    <w:rsid w:val="008003E0"/>
    <w:rsid w:val="00800F5C"/>
    <w:rsid w:val="00805F37"/>
    <w:rsid w:val="0081441C"/>
    <w:rsid w:val="00824EB1"/>
    <w:rsid w:val="00834570"/>
    <w:rsid w:val="00841561"/>
    <w:rsid w:val="00863CD5"/>
    <w:rsid w:val="0086542E"/>
    <w:rsid w:val="00865782"/>
    <w:rsid w:val="008846CD"/>
    <w:rsid w:val="008862B1"/>
    <w:rsid w:val="00890D33"/>
    <w:rsid w:val="00895600"/>
    <w:rsid w:val="008A0FA9"/>
    <w:rsid w:val="008B1C8C"/>
    <w:rsid w:val="008C4698"/>
    <w:rsid w:val="008E3F69"/>
    <w:rsid w:val="008F4E97"/>
    <w:rsid w:val="00912660"/>
    <w:rsid w:val="00925D96"/>
    <w:rsid w:val="00941E5E"/>
    <w:rsid w:val="00955C71"/>
    <w:rsid w:val="00966AF9"/>
    <w:rsid w:val="00986D91"/>
    <w:rsid w:val="009942C8"/>
    <w:rsid w:val="009D576C"/>
    <w:rsid w:val="009E1194"/>
    <w:rsid w:val="009F6803"/>
    <w:rsid w:val="00A045F3"/>
    <w:rsid w:val="00A20216"/>
    <w:rsid w:val="00A230AA"/>
    <w:rsid w:val="00A23B03"/>
    <w:rsid w:val="00A344AD"/>
    <w:rsid w:val="00A37077"/>
    <w:rsid w:val="00A6005C"/>
    <w:rsid w:val="00A60A84"/>
    <w:rsid w:val="00A63F65"/>
    <w:rsid w:val="00A64F42"/>
    <w:rsid w:val="00A805A9"/>
    <w:rsid w:val="00A80A42"/>
    <w:rsid w:val="00A83095"/>
    <w:rsid w:val="00A967B8"/>
    <w:rsid w:val="00AA2DFF"/>
    <w:rsid w:val="00AA77CF"/>
    <w:rsid w:val="00AD2E3E"/>
    <w:rsid w:val="00AE7E77"/>
    <w:rsid w:val="00AF4C91"/>
    <w:rsid w:val="00B071ED"/>
    <w:rsid w:val="00B11BF7"/>
    <w:rsid w:val="00B163D0"/>
    <w:rsid w:val="00B27206"/>
    <w:rsid w:val="00B36554"/>
    <w:rsid w:val="00B55716"/>
    <w:rsid w:val="00B60531"/>
    <w:rsid w:val="00B62C7B"/>
    <w:rsid w:val="00B76207"/>
    <w:rsid w:val="00B95BF3"/>
    <w:rsid w:val="00B976C4"/>
    <w:rsid w:val="00BB5AA3"/>
    <w:rsid w:val="00BD0E22"/>
    <w:rsid w:val="00BD79AE"/>
    <w:rsid w:val="00BE2263"/>
    <w:rsid w:val="00BE2633"/>
    <w:rsid w:val="00BF1DCF"/>
    <w:rsid w:val="00C028E4"/>
    <w:rsid w:val="00C27079"/>
    <w:rsid w:val="00C27C8A"/>
    <w:rsid w:val="00C36030"/>
    <w:rsid w:val="00C448E0"/>
    <w:rsid w:val="00C50416"/>
    <w:rsid w:val="00C54F69"/>
    <w:rsid w:val="00C56B09"/>
    <w:rsid w:val="00C57960"/>
    <w:rsid w:val="00C71E08"/>
    <w:rsid w:val="00C92620"/>
    <w:rsid w:val="00C973E5"/>
    <w:rsid w:val="00CA5A2C"/>
    <w:rsid w:val="00CB24A7"/>
    <w:rsid w:val="00CB3A9D"/>
    <w:rsid w:val="00CB6822"/>
    <w:rsid w:val="00CE1EBE"/>
    <w:rsid w:val="00CE2EFA"/>
    <w:rsid w:val="00CF7297"/>
    <w:rsid w:val="00D068F7"/>
    <w:rsid w:val="00D21AE6"/>
    <w:rsid w:val="00D30851"/>
    <w:rsid w:val="00D31781"/>
    <w:rsid w:val="00D31EB4"/>
    <w:rsid w:val="00D32E84"/>
    <w:rsid w:val="00D4554D"/>
    <w:rsid w:val="00D65B4A"/>
    <w:rsid w:val="00D707F6"/>
    <w:rsid w:val="00D725A5"/>
    <w:rsid w:val="00D776EE"/>
    <w:rsid w:val="00D80657"/>
    <w:rsid w:val="00D83AF8"/>
    <w:rsid w:val="00D974C4"/>
    <w:rsid w:val="00DA517E"/>
    <w:rsid w:val="00DF0A3C"/>
    <w:rsid w:val="00E01887"/>
    <w:rsid w:val="00E37CE8"/>
    <w:rsid w:val="00E4290E"/>
    <w:rsid w:val="00E501BF"/>
    <w:rsid w:val="00E66FD7"/>
    <w:rsid w:val="00E97D5A"/>
    <w:rsid w:val="00EA492B"/>
    <w:rsid w:val="00EB0709"/>
    <w:rsid w:val="00EB094C"/>
    <w:rsid w:val="00EB459D"/>
    <w:rsid w:val="00ED1973"/>
    <w:rsid w:val="00EF28B7"/>
    <w:rsid w:val="00F01A0D"/>
    <w:rsid w:val="00F1048A"/>
    <w:rsid w:val="00F1378D"/>
    <w:rsid w:val="00F13E63"/>
    <w:rsid w:val="00F22641"/>
    <w:rsid w:val="00F31EF0"/>
    <w:rsid w:val="00F44744"/>
    <w:rsid w:val="00F4613E"/>
    <w:rsid w:val="00F8055B"/>
    <w:rsid w:val="00F84FAB"/>
    <w:rsid w:val="00F858DC"/>
    <w:rsid w:val="00F96B1A"/>
    <w:rsid w:val="00FA3464"/>
    <w:rsid w:val="00FC6CE1"/>
    <w:rsid w:val="00FE2EB0"/>
    <w:rsid w:val="00FE428F"/>
    <w:rsid w:val="00FF30BF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6805"/>
  <w15:chartTrackingRefBased/>
  <w15:docId w15:val="{771198BF-6AE1-416A-B12C-AB656D7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5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B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AA"/>
  </w:style>
  <w:style w:type="paragraph" w:styleId="Footer">
    <w:name w:val="footer"/>
    <w:basedOn w:val="Normal"/>
    <w:link w:val="FooterChar"/>
    <w:uiPriority w:val="99"/>
    <w:unhideWhenUsed/>
    <w:rsid w:val="00A2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5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Figure</a:t>
            </a:r>
            <a:r>
              <a:rPr lang="en-US" baseline="0"/>
              <a:t> 1 OAE Pass Rate Overall 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UA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Sheet1!$B$1:$D$1</c:f>
              <c:strCache>
                <c:ptCount val="3"/>
                <c:pt idx="0">
                  <c:v>Year 2021-22</c:v>
                </c:pt>
                <c:pt idx="1">
                  <c:v>Year 2022-23</c:v>
                </c:pt>
                <c:pt idx="2">
                  <c:v>Year 2023-24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0.84</c:v>
                </c:pt>
                <c:pt idx="1">
                  <c:v>0.83</c:v>
                </c:pt>
                <c:pt idx="2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89-8C4A-AA7B-BA649FF5A8F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Ohio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Sheet1!$B$1:$D$1</c:f>
              <c:strCache>
                <c:ptCount val="3"/>
                <c:pt idx="0">
                  <c:v>Year 2021-22</c:v>
                </c:pt>
                <c:pt idx="1">
                  <c:v>Year 2022-23</c:v>
                </c:pt>
                <c:pt idx="2">
                  <c:v>Year 2023-24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0.83</c:v>
                </c:pt>
                <c:pt idx="1">
                  <c:v>0.8</c:v>
                </c:pt>
                <c:pt idx="2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89-8C4A-AA7B-BA649FF5A8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5527295"/>
        <c:axId val="465557663"/>
      </c:barChart>
      <c:catAx>
        <c:axId val="465527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5557663"/>
        <c:crosses val="autoZero"/>
        <c:auto val="1"/>
        <c:lblAlgn val="ctr"/>
        <c:lblOffset val="100"/>
        <c:noMultiLvlLbl val="0"/>
      </c:catAx>
      <c:valAx>
        <c:axId val="465557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5527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01AA758D6C342A95D1D8D94890EE8" ma:contentTypeVersion="0" ma:contentTypeDescription="Create a new document." ma:contentTypeScope="" ma:versionID="c95bb57c59212bf819ff502b69a3dc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2F8CB-6168-4CCF-A561-51ECF7A2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C04DD-BC58-456F-958D-CFBD73ECF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29DE4E-4E9D-47A9-9A5A-55534B03A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225</cp:revision>
  <dcterms:created xsi:type="dcterms:W3CDTF">2021-02-21T16:06:00Z</dcterms:created>
  <dcterms:modified xsi:type="dcterms:W3CDTF">2025-04-08T13:46:00Z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0x010100F0F01AA758D6C342A95D1D8D94890EE8</vt:lpwstr>
  </property>
</Properties>
</file>